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62" w:rsidRPr="00A97D62" w:rsidRDefault="00A97D62" w:rsidP="00A97D62">
      <w:pPr>
        <w:spacing w:before="480" w:after="120" w:line="240" w:lineRule="auto"/>
        <w:rPr>
          <w:rFonts w:ascii="Times New Roman" w:eastAsia="Times New Roman" w:hAnsi="Times New Roman" w:cs="Times New Roman"/>
          <w:color w:val="2E74B5"/>
          <w:sz w:val="24"/>
          <w:szCs w:val="24"/>
          <w:lang w:eastAsia="pl-PL"/>
        </w:rPr>
      </w:pPr>
      <w:r w:rsidRPr="00A97D62">
        <w:rPr>
          <w:rFonts w:ascii="Times New Roman" w:eastAsia="Times New Roman" w:hAnsi="Times New Roman" w:cs="Times New Roman"/>
          <w:b/>
          <w:bCs/>
          <w:color w:val="2E74B5"/>
          <w:sz w:val="28"/>
          <w:szCs w:val="28"/>
          <w:lang w:eastAsia="pl-PL"/>
        </w:rPr>
        <w:t>Analiza potrzeb i potencjału obszaru LSR</w:t>
      </w:r>
    </w:p>
    <w:p w:rsidR="00A97D62" w:rsidRPr="00A97D62" w:rsidRDefault="00A97D62" w:rsidP="00A97D62">
      <w:pPr>
        <w:spacing w:before="240" w:after="240"/>
        <w:jc w:val="both"/>
        <w:rPr>
          <w:rFonts w:ascii="Times New Roman" w:eastAsia="Times New Roman" w:hAnsi="Times New Roman" w:cs="Times New Roman"/>
          <w:sz w:val="24"/>
          <w:szCs w:val="24"/>
          <w:lang w:eastAsia="pl-PL"/>
        </w:rPr>
      </w:pPr>
      <w:r w:rsidRPr="00A97D62">
        <w:rPr>
          <w:rFonts w:ascii="Times New Roman" w:eastAsia="Times New Roman" w:hAnsi="Times New Roman" w:cs="Times New Roman"/>
          <w:color w:val="000000"/>
          <w:lang w:eastAsia="pl-PL"/>
        </w:rPr>
        <w:t>Analiza potrzeb i potencjału obszaru wdrażania LSR dla Lokalnej Grupy Działania –„Powiatu Świdwińskiego” tj. obszar powiatu świdwińskiego, została opracowana przez Grupę Robocza                  ds. Budowy Strategii na podstawie analiz z przeprowadzonych konsultacji społecznych, spotkań, ankiet skierowanych do mieszkańców obszaru skierowane droga elektroniczną i podczas konsultacji przeprowadzona podczas konsultacji społecznych i fiszek projektowych.  </w:t>
      </w:r>
    </w:p>
    <w:p w:rsidR="00A97D62" w:rsidRPr="00A97D62" w:rsidRDefault="00A97D62" w:rsidP="00A97D62">
      <w:pPr>
        <w:spacing w:before="240" w:after="240"/>
        <w:jc w:val="both"/>
        <w:rPr>
          <w:rFonts w:ascii="Times New Roman" w:eastAsia="Times New Roman" w:hAnsi="Times New Roman" w:cs="Times New Roman"/>
          <w:color w:val="000000"/>
          <w:lang w:eastAsia="pl-PL"/>
        </w:rPr>
      </w:pPr>
      <w:r w:rsidRPr="00A97D62">
        <w:rPr>
          <w:rFonts w:ascii="Times New Roman" w:eastAsia="Times New Roman" w:hAnsi="Times New Roman" w:cs="Times New Roman"/>
          <w:color w:val="000000"/>
          <w:lang w:eastAsia="pl-PL"/>
        </w:rPr>
        <w:t>Analiza potrzeb obszaru pozwala wykorzystać zgromadzone informacje do opracowania strategii działania opartej na silnych stronach i szansach, przy jednoczesnym eliminowaniu bądź ograniczaniu słabych stron i zagrożeń.</w:t>
      </w:r>
    </w:p>
    <w:p w:rsidR="00A97D62" w:rsidRPr="00A97D62" w:rsidRDefault="00A97D62" w:rsidP="00A97D62">
      <w:pPr>
        <w:spacing w:after="0"/>
        <w:rPr>
          <w:rFonts w:ascii="Times New Roman" w:eastAsia="Times New Roman" w:hAnsi="Times New Roman" w:cs="Times New Roman"/>
          <w:b/>
          <w:bCs/>
          <w:sz w:val="24"/>
          <w:szCs w:val="24"/>
          <w:lang w:eastAsia="pl-PL"/>
        </w:rPr>
      </w:pPr>
      <w:r w:rsidRPr="00A97D62">
        <w:rPr>
          <w:rFonts w:ascii="Times New Roman" w:eastAsia="Times New Roman" w:hAnsi="Times New Roman" w:cs="Times New Roman"/>
          <w:b/>
          <w:bCs/>
          <w:color w:val="000000"/>
          <w:lang w:eastAsia="pl-PL"/>
        </w:rPr>
        <w:t>Tabela IV. 24 Analiza potrzeb i potencjału obszaru wdrażania LSR</w:t>
      </w:r>
    </w:p>
    <w:tbl>
      <w:tblPr>
        <w:tblW w:w="0" w:type="auto"/>
        <w:tblLook w:val="04A0" w:firstRow="1" w:lastRow="0" w:firstColumn="1" w:lastColumn="0" w:noHBand="0" w:noVBand="1"/>
      </w:tblPr>
      <w:tblGrid>
        <w:gridCol w:w="4924"/>
        <w:gridCol w:w="4378"/>
      </w:tblGrid>
      <w:tr w:rsidR="00A97D62" w:rsidRPr="00A97D62" w:rsidTr="00A97D62">
        <w:tc>
          <w:tcPr>
            <w:tcW w:w="0" w:type="auto"/>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0" w:type="dxa"/>
              <w:left w:w="115" w:type="dxa"/>
              <w:bottom w:w="0" w:type="dxa"/>
              <w:right w:w="115" w:type="dxa"/>
            </w:tcMar>
            <w:vAlign w:val="center"/>
            <w:hideMark/>
          </w:tcPr>
          <w:p w:rsidR="00A97D62" w:rsidRPr="00A97D62" w:rsidRDefault="00A97D62" w:rsidP="00A97D62">
            <w:pPr>
              <w:spacing w:after="0" w:line="240" w:lineRule="auto"/>
              <w:ind w:right="115" w:hanging="115"/>
              <w:jc w:val="center"/>
              <w:rPr>
                <w:rFonts w:ascii="Times New Roman" w:eastAsia="Times New Roman" w:hAnsi="Times New Roman" w:cs="Times New Roman"/>
                <w:sz w:val="24"/>
                <w:szCs w:val="24"/>
                <w:lang w:eastAsia="pl-PL"/>
              </w:rPr>
            </w:pPr>
            <w:r w:rsidRPr="00A97D62">
              <w:rPr>
                <w:rFonts w:ascii="Arial" w:eastAsia="Times New Roman" w:hAnsi="Arial" w:cs="Arial"/>
                <w:b/>
                <w:bCs/>
                <w:color w:val="000000"/>
                <w:lang w:eastAsia="pl-PL"/>
              </w:rPr>
              <w:t>MOCNE STRONY</w:t>
            </w:r>
          </w:p>
        </w:tc>
        <w:tc>
          <w:tcPr>
            <w:tcW w:w="0" w:type="auto"/>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0" w:type="dxa"/>
              <w:left w:w="115" w:type="dxa"/>
              <w:bottom w:w="0" w:type="dxa"/>
              <w:right w:w="115" w:type="dxa"/>
            </w:tcMar>
            <w:vAlign w:val="center"/>
            <w:hideMark/>
          </w:tcPr>
          <w:p w:rsidR="00A97D62" w:rsidRPr="00A97D62" w:rsidRDefault="00A97D62" w:rsidP="00A97D62">
            <w:pPr>
              <w:spacing w:after="0" w:line="240" w:lineRule="auto"/>
              <w:ind w:right="115" w:hanging="115"/>
              <w:jc w:val="center"/>
              <w:rPr>
                <w:rFonts w:ascii="Times New Roman" w:eastAsia="Times New Roman" w:hAnsi="Times New Roman" w:cs="Times New Roman"/>
                <w:sz w:val="24"/>
                <w:szCs w:val="24"/>
                <w:lang w:eastAsia="pl-PL"/>
              </w:rPr>
            </w:pPr>
            <w:r w:rsidRPr="00A97D62">
              <w:rPr>
                <w:rFonts w:ascii="Arial" w:eastAsia="Times New Roman" w:hAnsi="Arial" w:cs="Arial"/>
                <w:b/>
                <w:bCs/>
                <w:color w:val="000000"/>
                <w:lang w:eastAsia="pl-PL"/>
              </w:rPr>
              <w:t>SŁABE STRONY</w:t>
            </w:r>
          </w:p>
        </w:tc>
      </w:tr>
      <w:tr w:rsidR="00A97D62" w:rsidRPr="00A97D62" w:rsidTr="00A97D62">
        <w:tc>
          <w:tcPr>
            <w:tcW w:w="0" w:type="auto"/>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5" w:type="dxa"/>
              <w:bottom w:w="0" w:type="dxa"/>
              <w:right w:w="115" w:type="dxa"/>
            </w:tcMar>
            <w:vAlign w:val="center"/>
            <w:hideMark/>
          </w:tcPr>
          <w:p w:rsidR="00A97D62" w:rsidRPr="00A97D62" w:rsidRDefault="00A97D62" w:rsidP="00A97D62">
            <w:pPr>
              <w:spacing w:before="40" w:after="40" w:line="240" w:lineRule="auto"/>
              <w:ind w:right="115" w:hanging="115"/>
              <w:jc w:val="center"/>
              <w:rPr>
                <w:rFonts w:ascii="Times New Roman" w:eastAsia="Times New Roman" w:hAnsi="Times New Roman" w:cs="Times New Roman"/>
                <w:sz w:val="24"/>
                <w:szCs w:val="24"/>
                <w:lang w:eastAsia="pl-PL"/>
              </w:rPr>
            </w:pPr>
            <w:r w:rsidRPr="00A97D62">
              <w:rPr>
                <w:rFonts w:ascii="Arial" w:eastAsia="Times New Roman" w:hAnsi="Arial" w:cs="Arial"/>
                <w:b/>
                <w:bCs/>
                <w:color w:val="000000"/>
                <w:sz w:val="20"/>
                <w:szCs w:val="20"/>
                <w:lang w:eastAsia="pl-PL"/>
              </w:rPr>
              <w:t>Czynniki wewnętrzne</w:t>
            </w:r>
          </w:p>
        </w:tc>
      </w:tr>
      <w:tr w:rsidR="00A97D62" w:rsidRPr="00A97D62" w:rsidTr="00A97D62">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A97D62" w:rsidRPr="00A97D62" w:rsidRDefault="00A97D62" w:rsidP="00A97D62">
            <w:pPr>
              <w:numPr>
                <w:ilvl w:val="0"/>
                <w:numId w:val="1"/>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Położenie miejscowości blisko morza lub/i terenów leśnych, jezior, zalewów. </w:t>
            </w:r>
          </w:p>
          <w:p w:rsidR="00A97D62" w:rsidRPr="00A97D62" w:rsidRDefault="00A97D62" w:rsidP="00A97D62">
            <w:pPr>
              <w:numPr>
                <w:ilvl w:val="0"/>
                <w:numId w:val="1"/>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Bliskość trasy S6 </w:t>
            </w:r>
          </w:p>
          <w:p w:rsidR="00A97D62" w:rsidRPr="00A97D62" w:rsidRDefault="00A97D62" w:rsidP="00A97D62">
            <w:pPr>
              <w:numPr>
                <w:ilvl w:val="0"/>
                <w:numId w:val="2"/>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Ciekawe i bogate środowisko naturalne sprzyjające uprawianiu turystyki</w:t>
            </w:r>
          </w:p>
          <w:p w:rsidR="00A97D62" w:rsidRPr="00A97D62" w:rsidRDefault="00A97D62" w:rsidP="00A97D62">
            <w:pPr>
              <w:numPr>
                <w:ilvl w:val="0"/>
                <w:numId w:val="2"/>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Obecność zasobów historycznych (np. na obszarze wsi Modrzewiec znajdują się 3 zabytkowe obiekty wpisane do rejestru zabytków Dziedzictwa Narodowego: Dwór z początku XX wieku, Zespół Dworski z początku XIX wieku, Park z pierwszego ćwierćwiecza XIX wie</w:t>
            </w:r>
            <w:r w:rsidRPr="00A97D62">
              <w:rPr>
                <w:rFonts w:ascii="Times New Roman" w:eastAsia="Times New Roman" w:hAnsi="Times New Roman" w:cs="Times New Roman"/>
                <w:color w:val="000000"/>
                <w:sz w:val="18"/>
                <w:szCs w:val="18"/>
                <w:shd w:val="clear" w:color="auto" w:fill="FFFFFF"/>
                <w:lang w:eastAsia="pl-PL"/>
              </w:rPr>
              <w:t xml:space="preserve">ku, liczne zabytkowe </w:t>
            </w:r>
            <w:proofErr w:type="spellStart"/>
            <w:r w:rsidRPr="00A97D62">
              <w:rPr>
                <w:rFonts w:ascii="Times New Roman" w:eastAsia="Times New Roman" w:hAnsi="Times New Roman" w:cs="Times New Roman"/>
                <w:color w:val="000000"/>
                <w:sz w:val="18"/>
                <w:szCs w:val="18"/>
                <w:shd w:val="clear" w:color="auto" w:fill="FFFFFF"/>
                <w:lang w:eastAsia="pl-PL"/>
              </w:rPr>
              <w:t>kościoły,</w:t>
            </w:r>
            <w:r w:rsidRPr="00A97D62">
              <w:rPr>
                <w:rFonts w:ascii="Times New Roman" w:eastAsia="Times New Roman" w:hAnsi="Times New Roman" w:cs="Times New Roman"/>
                <w:color w:val="000000"/>
                <w:sz w:val="18"/>
                <w:szCs w:val="18"/>
                <w:lang w:eastAsia="pl-PL"/>
              </w:rPr>
              <w:t>Zabytkowe</w:t>
            </w:r>
            <w:proofErr w:type="spellEnd"/>
            <w:r w:rsidRPr="00A97D62">
              <w:rPr>
                <w:rFonts w:ascii="Times New Roman" w:eastAsia="Times New Roman" w:hAnsi="Times New Roman" w:cs="Times New Roman"/>
                <w:color w:val="000000"/>
                <w:sz w:val="18"/>
                <w:szCs w:val="18"/>
                <w:lang w:eastAsia="pl-PL"/>
              </w:rPr>
              <w:t xml:space="preserve"> Centrum Miasta Połczyn Zdrój</w:t>
            </w:r>
            <w:r w:rsidRPr="00A97D62">
              <w:rPr>
                <w:rFonts w:ascii="Times New Roman" w:eastAsia="Times New Roman" w:hAnsi="Times New Roman" w:cs="Times New Roman"/>
                <w:color w:val="000000"/>
                <w:sz w:val="18"/>
                <w:szCs w:val="18"/>
                <w:shd w:val="clear" w:color="auto" w:fill="FFFFFF"/>
                <w:lang w:eastAsia="pl-PL"/>
              </w:rPr>
              <w:t>),</w:t>
            </w:r>
          </w:p>
          <w:p w:rsidR="00A97D62" w:rsidRPr="00A97D62" w:rsidRDefault="00A97D62" w:rsidP="00A97D62">
            <w:pPr>
              <w:numPr>
                <w:ilvl w:val="0"/>
                <w:numId w:val="3"/>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 xml:space="preserve">Duża różnorodność oferty produktów lokalnych oraz ekologicznych np. piwo Połczyn, Perła Połczyńska – woda mineralna, borowina, </w:t>
            </w:r>
            <w:r w:rsidRPr="00A97D62">
              <w:rPr>
                <w:rFonts w:ascii="Times New Roman" w:eastAsia="Times New Roman" w:hAnsi="Times New Roman" w:cs="Times New Roman"/>
                <w:color w:val="000000"/>
                <w:sz w:val="18"/>
                <w:szCs w:val="18"/>
                <w:shd w:val="clear" w:color="auto" w:fill="FFFFFF"/>
                <w:lang w:eastAsia="pl-PL"/>
              </w:rPr>
              <w:t>marynowane grzybki z szyszką, szynka świdwińska .</w:t>
            </w:r>
          </w:p>
          <w:p w:rsidR="00A97D62" w:rsidRPr="00A97D62" w:rsidRDefault="00A97D62" w:rsidP="00A97D62">
            <w:pPr>
              <w:numPr>
                <w:ilvl w:val="0"/>
                <w:numId w:val="3"/>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Dobry dostęp do zdrowej żywności.</w:t>
            </w:r>
          </w:p>
          <w:p w:rsidR="00A97D62" w:rsidRPr="00A97D62" w:rsidRDefault="00A97D62" w:rsidP="00A97D62">
            <w:pPr>
              <w:numPr>
                <w:ilvl w:val="0"/>
                <w:numId w:val="3"/>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Możliwość prowadzenia cichego i spokojnego życia.</w:t>
            </w:r>
          </w:p>
          <w:p w:rsidR="00A97D62" w:rsidRPr="00A97D62" w:rsidRDefault="00A97D62" w:rsidP="00A97D62">
            <w:pPr>
              <w:numPr>
                <w:ilvl w:val="0"/>
                <w:numId w:val="4"/>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Niskie zanieczyszczenie środowiska w Parku Krajobrazowym.</w:t>
            </w:r>
          </w:p>
          <w:p w:rsidR="00A97D62" w:rsidRPr="00A97D62" w:rsidRDefault="00A97D62" w:rsidP="00A97D62">
            <w:pPr>
              <w:numPr>
                <w:ilvl w:val="0"/>
                <w:numId w:val="4"/>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60% gminy Połczyn Zdrój jest objęte ochroną uzdrowiskową.</w:t>
            </w:r>
          </w:p>
          <w:p w:rsidR="00A97D62" w:rsidRPr="00A97D62" w:rsidRDefault="00A97D62" w:rsidP="00A97D62">
            <w:pPr>
              <w:numPr>
                <w:ilvl w:val="0"/>
                <w:numId w:val="4"/>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37% obszaru gminy Połczyn Zdrój to lasy.</w:t>
            </w:r>
          </w:p>
          <w:p w:rsidR="00A97D62" w:rsidRPr="00A97D62" w:rsidRDefault="00A97D62" w:rsidP="00A97D62">
            <w:pPr>
              <w:numPr>
                <w:ilvl w:val="0"/>
                <w:numId w:val="4"/>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położenie na terenie części Drawskiego Parku Krajobrazowego</w:t>
            </w:r>
          </w:p>
          <w:p w:rsidR="00A97D62" w:rsidRPr="00A97D62" w:rsidRDefault="00A97D62" w:rsidP="00A97D62">
            <w:pPr>
              <w:numPr>
                <w:ilvl w:val="0"/>
                <w:numId w:val="4"/>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dobre warunki do uprawiania turystyki pieszej, rowerowej, konnej.</w:t>
            </w:r>
          </w:p>
          <w:p w:rsidR="00A97D62" w:rsidRPr="00A97D62" w:rsidRDefault="00A97D62" w:rsidP="00A97D62">
            <w:pPr>
              <w:numPr>
                <w:ilvl w:val="0"/>
                <w:numId w:val="4"/>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80 % terenów wiejskich posiada dostęp do Internetu.</w:t>
            </w:r>
          </w:p>
          <w:p w:rsidR="00A97D62" w:rsidRPr="00A97D62" w:rsidRDefault="00A97D62" w:rsidP="00A97D62">
            <w:pPr>
              <w:numPr>
                <w:ilvl w:val="0"/>
                <w:numId w:val="5"/>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 xml:space="preserve">Atrakcyjne miejsca do budowy stałej oferty turystyczno-kulturalnej np. Centrum Nauki </w:t>
            </w:r>
            <w:proofErr w:type="spellStart"/>
            <w:r w:rsidRPr="00A97D62">
              <w:rPr>
                <w:rFonts w:ascii="Times New Roman" w:eastAsia="Times New Roman" w:hAnsi="Times New Roman" w:cs="Times New Roman"/>
                <w:color w:val="000000"/>
                <w:sz w:val="18"/>
                <w:szCs w:val="18"/>
                <w:lang w:eastAsia="pl-PL"/>
              </w:rPr>
              <w:t>Cordis</w:t>
            </w:r>
            <w:proofErr w:type="spellEnd"/>
            <w:r w:rsidRPr="00A97D62">
              <w:rPr>
                <w:rFonts w:ascii="Times New Roman" w:eastAsia="Times New Roman" w:hAnsi="Times New Roman" w:cs="Times New Roman"/>
                <w:color w:val="000000"/>
                <w:sz w:val="18"/>
                <w:szCs w:val="18"/>
                <w:lang w:eastAsia="pl-PL"/>
              </w:rPr>
              <w:t xml:space="preserve"> w Świdwinie, Zamek, Centrum Kultury w Brzeżnie,</w:t>
            </w:r>
            <w:r w:rsidRPr="00A97D62">
              <w:rPr>
                <w:rFonts w:ascii="Times New Roman" w:eastAsia="Times New Roman" w:hAnsi="Times New Roman" w:cs="Times New Roman"/>
                <w:color w:val="000000"/>
                <w:sz w:val="18"/>
                <w:szCs w:val="18"/>
                <w:u w:val="single"/>
                <w:lang w:eastAsia="pl-PL"/>
              </w:rPr>
              <w:t xml:space="preserve"> </w:t>
            </w:r>
            <w:r w:rsidRPr="00A97D62">
              <w:rPr>
                <w:rFonts w:ascii="Times New Roman" w:eastAsia="Times New Roman" w:hAnsi="Times New Roman" w:cs="Times New Roman"/>
                <w:color w:val="000000"/>
                <w:sz w:val="18"/>
                <w:szCs w:val="18"/>
                <w:lang w:eastAsia="pl-PL"/>
              </w:rPr>
              <w:t>Folwark Biernów Park Połczyn Zdrój itp.</w:t>
            </w:r>
          </w:p>
          <w:p w:rsidR="00A97D62" w:rsidRPr="00A97D62" w:rsidRDefault="00A97D62" w:rsidP="00A97D62">
            <w:pPr>
              <w:numPr>
                <w:ilvl w:val="0"/>
                <w:numId w:val="6"/>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 xml:space="preserve">Ciekawe inicjatywy i wydarzenia lokalne np. </w:t>
            </w:r>
            <w:proofErr w:type="spellStart"/>
            <w:r w:rsidRPr="00A97D62">
              <w:rPr>
                <w:rFonts w:ascii="Times New Roman" w:eastAsia="Times New Roman" w:hAnsi="Times New Roman" w:cs="Times New Roman"/>
                <w:color w:val="000000"/>
                <w:sz w:val="18"/>
                <w:szCs w:val="18"/>
                <w:lang w:eastAsia="pl-PL"/>
              </w:rPr>
              <w:t>Parkrun</w:t>
            </w:r>
            <w:proofErr w:type="spellEnd"/>
            <w:r w:rsidRPr="00A97D62">
              <w:rPr>
                <w:rFonts w:ascii="Times New Roman" w:eastAsia="Times New Roman" w:hAnsi="Times New Roman" w:cs="Times New Roman"/>
                <w:color w:val="000000"/>
                <w:sz w:val="18"/>
                <w:szCs w:val="18"/>
                <w:lang w:eastAsia="pl-PL"/>
              </w:rPr>
              <w:t xml:space="preserve"> w Świdwinie, Połczyn Fest – 3-dniowy festiwal piwny, Bitwa o Krowę, </w:t>
            </w:r>
            <w:proofErr w:type="spellStart"/>
            <w:r w:rsidRPr="00A97D62">
              <w:rPr>
                <w:rFonts w:ascii="Times New Roman" w:eastAsia="Times New Roman" w:hAnsi="Times New Roman" w:cs="Times New Roman"/>
                <w:color w:val="000000"/>
                <w:sz w:val="18"/>
                <w:szCs w:val="18"/>
                <w:lang w:eastAsia="pl-PL"/>
              </w:rPr>
              <w:t>Summer</w:t>
            </w:r>
            <w:proofErr w:type="spellEnd"/>
            <w:r w:rsidRPr="00A97D62">
              <w:rPr>
                <w:rFonts w:ascii="Times New Roman" w:eastAsia="Times New Roman" w:hAnsi="Times New Roman" w:cs="Times New Roman"/>
                <w:color w:val="000000"/>
                <w:sz w:val="18"/>
                <w:szCs w:val="18"/>
                <w:lang w:eastAsia="pl-PL"/>
              </w:rPr>
              <w:t xml:space="preserve"> </w:t>
            </w:r>
            <w:proofErr w:type="spellStart"/>
            <w:r w:rsidRPr="00A97D62">
              <w:rPr>
                <w:rFonts w:ascii="Times New Roman" w:eastAsia="Times New Roman" w:hAnsi="Times New Roman" w:cs="Times New Roman"/>
                <w:color w:val="000000"/>
                <w:sz w:val="18"/>
                <w:szCs w:val="18"/>
                <w:lang w:eastAsia="pl-PL"/>
              </w:rPr>
              <w:t>Contrast</w:t>
            </w:r>
            <w:proofErr w:type="spellEnd"/>
            <w:r w:rsidRPr="00A97D62">
              <w:rPr>
                <w:rFonts w:ascii="Times New Roman" w:eastAsia="Times New Roman" w:hAnsi="Times New Roman" w:cs="Times New Roman"/>
                <w:color w:val="000000"/>
                <w:sz w:val="18"/>
                <w:szCs w:val="18"/>
                <w:lang w:eastAsia="pl-PL"/>
              </w:rPr>
              <w:t xml:space="preserve"> </w:t>
            </w:r>
            <w:proofErr w:type="spellStart"/>
            <w:r w:rsidRPr="00A97D62">
              <w:rPr>
                <w:rFonts w:ascii="Times New Roman" w:eastAsia="Times New Roman" w:hAnsi="Times New Roman" w:cs="Times New Roman"/>
                <w:color w:val="000000"/>
                <w:sz w:val="18"/>
                <w:szCs w:val="18"/>
                <w:lang w:eastAsia="pl-PL"/>
              </w:rPr>
              <w:t>Festival</w:t>
            </w:r>
            <w:proofErr w:type="spellEnd"/>
            <w:r w:rsidRPr="00A97D62">
              <w:rPr>
                <w:rFonts w:ascii="Times New Roman" w:eastAsia="Times New Roman" w:hAnsi="Times New Roman" w:cs="Times New Roman"/>
                <w:color w:val="000000"/>
                <w:sz w:val="18"/>
                <w:szCs w:val="18"/>
                <w:lang w:eastAsia="pl-PL"/>
              </w:rPr>
              <w:t xml:space="preserve">, </w:t>
            </w:r>
            <w:proofErr w:type="spellStart"/>
            <w:r w:rsidRPr="00A97D62">
              <w:rPr>
                <w:rFonts w:ascii="Times New Roman" w:eastAsia="Times New Roman" w:hAnsi="Times New Roman" w:cs="Times New Roman"/>
                <w:color w:val="000000"/>
                <w:sz w:val="18"/>
                <w:szCs w:val="18"/>
                <w:lang w:eastAsia="pl-PL"/>
              </w:rPr>
              <w:t>Velo</w:t>
            </w:r>
            <w:proofErr w:type="spellEnd"/>
            <w:r w:rsidRPr="00A97D62">
              <w:rPr>
                <w:rFonts w:ascii="Times New Roman" w:eastAsia="Times New Roman" w:hAnsi="Times New Roman" w:cs="Times New Roman"/>
                <w:color w:val="000000"/>
                <w:sz w:val="18"/>
                <w:szCs w:val="18"/>
                <w:lang w:eastAsia="pl-PL"/>
              </w:rPr>
              <w:t xml:space="preserve"> </w:t>
            </w:r>
            <w:proofErr w:type="spellStart"/>
            <w:r w:rsidRPr="00A97D62">
              <w:rPr>
                <w:rFonts w:ascii="Times New Roman" w:eastAsia="Times New Roman" w:hAnsi="Times New Roman" w:cs="Times New Roman"/>
                <w:color w:val="000000"/>
                <w:sz w:val="18"/>
                <w:szCs w:val="18"/>
                <w:lang w:eastAsia="pl-PL"/>
              </w:rPr>
              <w:t>Baltic</w:t>
            </w:r>
            <w:proofErr w:type="spellEnd"/>
            <w:r w:rsidRPr="00A97D62">
              <w:rPr>
                <w:rFonts w:ascii="Times New Roman" w:eastAsia="Times New Roman" w:hAnsi="Times New Roman" w:cs="Times New Roman"/>
                <w:color w:val="000000"/>
                <w:sz w:val="18"/>
                <w:szCs w:val="18"/>
                <w:lang w:eastAsia="pl-PL"/>
              </w:rPr>
              <w:t xml:space="preserve"> </w:t>
            </w:r>
            <w:proofErr w:type="spellStart"/>
            <w:r w:rsidRPr="00A97D62">
              <w:rPr>
                <w:rFonts w:ascii="Times New Roman" w:eastAsia="Times New Roman" w:hAnsi="Times New Roman" w:cs="Times New Roman"/>
                <w:color w:val="000000"/>
                <w:sz w:val="18"/>
                <w:szCs w:val="18"/>
                <w:lang w:eastAsia="pl-PL"/>
              </w:rPr>
              <w:t>Gravel</w:t>
            </w:r>
            <w:proofErr w:type="spellEnd"/>
            <w:r w:rsidRPr="00A97D62">
              <w:rPr>
                <w:rFonts w:ascii="Times New Roman" w:eastAsia="Times New Roman" w:hAnsi="Times New Roman" w:cs="Times New Roman"/>
                <w:color w:val="000000"/>
                <w:sz w:val="18"/>
                <w:szCs w:val="18"/>
                <w:lang w:eastAsia="pl-PL"/>
              </w:rPr>
              <w:t> Połczyn-Zdrój itp.</w:t>
            </w:r>
          </w:p>
          <w:p w:rsidR="00A97D62" w:rsidRPr="00A97D62" w:rsidRDefault="00A97D62" w:rsidP="00A97D62">
            <w:pPr>
              <w:numPr>
                <w:ilvl w:val="0"/>
                <w:numId w:val="6"/>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Aktywne</w:t>
            </w:r>
            <w:r w:rsidRPr="00A97D62">
              <w:rPr>
                <w:rFonts w:ascii="Times New Roman" w:eastAsia="Times New Roman" w:hAnsi="Times New Roman" w:cs="Times New Roman"/>
                <w:color w:val="FF0000"/>
                <w:sz w:val="18"/>
                <w:szCs w:val="18"/>
                <w:lang w:eastAsia="pl-PL"/>
              </w:rPr>
              <w:t xml:space="preserve"> </w:t>
            </w:r>
            <w:r w:rsidRPr="00A97D62">
              <w:rPr>
                <w:rFonts w:ascii="Times New Roman" w:eastAsia="Times New Roman" w:hAnsi="Times New Roman" w:cs="Times New Roman"/>
                <w:color w:val="000000"/>
                <w:sz w:val="18"/>
                <w:szCs w:val="18"/>
                <w:lang w:eastAsia="pl-PL"/>
              </w:rPr>
              <w:t xml:space="preserve">środowiska organizacji pozarządowych tj. </w:t>
            </w:r>
            <w:r w:rsidRPr="00A97D62">
              <w:rPr>
                <w:rFonts w:ascii="Times New Roman" w:eastAsia="Times New Roman" w:hAnsi="Times New Roman" w:cs="Times New Roman"/>
                <w:color w:val="000000"/>
                <w:sz w:val="18"/>
                <w:szCs w:val="18"/>
                <w:lang w:eastAsia="pl-PL"/>
              </w:rPr>
              <w:lastRenderedPageBreak/>
              <w:t>stowarzyszeń, klubów sportowych, spółdzielni socjalnych, kół wędkarskich i kół gospodyń wiejskich skupiające aktywnych mieszkańców.</w:t>
            </w:r>
          </w:p>
          <w:p w:rsidR="00A97D62" w:rsidRPr="00A97D62" w:rsidRDefault="00A97D62" w:rsidP="00A97D62">
            <w:pPr>
              <w:numPr>
                <w:ilvl w:val="0"/>
                <w:numId w:val="6"/>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Prowadzona edukacja ekologiczna dla dzieci i dorosłych w Ośrodku Edukacji Ekologicznej w Lipiu.</w:t>
            </w:r>
          </w:p>
          <w:p w:rsidR="00A97D62" w:rsidRPr="00A97D62" w:rsidRDefault="00A97D62" w:rsidP="00A97D62">
            <w:pPr>
              <w:numPr>
                <w:ilvl w:val="0"/>
                <w:numId w:val="6"/>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Funkcjonujące gospodarstwa agroturystyczne przyciągają turystów z zewnątrz.</w:t>
            </w:r>
          </w:p>
          <w:p w:rsidR="00A97D62" w:rsidRPr="00A97D62" w:rsidRDefault="00A97D62" w:rsidP="00A97D62">
            <w:pPr>
              <w:numPr>
                <w:ilvl w:val="0"/>
                <w:numId w:val="6"/>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Rozwijająca się działalność lokalnych producentów spożywczych i rękodzielników (miody, sery, oleje, itp.).</w:t>
            </w:r>
          </w:p>
          <w:p w:rsidR="00A97D62" w:rsidRPr="00A97D62" w:rsidRDefault="00A97D62" w:rsidP="00A97D62">
            <w:pPr>
              <w:spacing w:after="240" w:line="240" w:lineRule="auto"/>
              <w:rPr>
                <w:rFonts w:ascii="Times New Roman" w:eastAsia="Times New Roman" w:hAnsi="Times New Roman" w:cs="Times New Roman"/>
                <w:sz w:val="24"/>
                <w:szCs w:val="24"/>
                <w:lang w:eastAsia="pl-PL"/>
              </w:rPr>
            </w:pPr>
            <w:r w:rsidRPr="00A97D62">
              <w:rPr>
                <w:rFonts w:ascii="Times New Roman" w:eastAsia="Times New Roman" w:hAnsi="Times New Roman" w:cs="Times New Roman"/>
                <w:sz w:val="24"/>
                <w:szCs w:val="24"/>
                <w:lang w:eastAsia="pl-PL"/>
              </w:rPr>
              <w:br/>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lastRenderedPageBreak/>
              <w:t>Mała liczba miejsc pracy</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wysokie bezrobocie</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Niewystarczająca liczba punktów gastronomicznych.</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Niewystarczająca liczba chodników.</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Niewystarczające oświetlenie.</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Brak kompleksowej oferty turystycznej i zintegrowanego systemu informacyjnego oraz sposobu promocji produktów lokalnych, marki regionu i wydarzeń kulturalnych</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Słaba lub brak oferty spędzania czasu wolnego (w szczególności dla młodzieży szkolnej i młodych dorosłych).</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Za mało miejsc noclegowych.</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Nierozwinięta infrastruktura rekreacyjno-turystyczno-sportowa.</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brak systemu wsparcia merytorycznego działalności i rozwoju organizacji pozarządowych, niewystarczający poziom wiedzy liderów.</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 xml:space="preserve">Niskiej jakości zaplecze techniczne w niektórych jednostkach kultury np. w Gminnym Ośrodku Kultury w Sławoborzu i </w:t>
            </w:r>
            <w:r w:rsidRPr="00A97D62">
              <w:rPr>
                <w:rFonts w:ascii="Times New Roman" w:eastAsia="Times New Roman" w:hAnsi="Times New Roman" w:cs="Times New Roman"/>
                <w:color w:val="000000"/>
                <w:sz w:val="18"/>
                <w:szCs w:val="18"/>
                <w:shd w:val="clear" w:color="auto" w:fill="FFFFFF"/>
                <w:lang w:eastAsia="pl-PL"/>
              </w:rPr>
              <w:t xml:space="preserve">Rąbinie, w świetlicach wiejskich </w:t>
            </w:r>
            <w:r w:rsidRPr="00A97D62">
              <w:rPr>
                <w:rFonts w:ascii="Times New Roman" w:eastAsia="Times New Roman" w:hAnsi="Times New Roman" w:cs="Times New Roman"/>
                <w:color w:val="000000"/>
                <w:sz w:val="18"/>
                <w:szCs w:val="18"/>
                <w:lang w:eastAsia="pl-PL"/>
              </w:rPr>
              <w:t> które wymaga dodatkowych kosztów (np. nagłośnienie, oświetlenie, doposażenie w sprzęt).</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Niedostosowanie szkolnictwa zawodowego do  zapotrzebowania rynku pracy</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Brak środków na opiekę nad seniorami, osobami niesamodzielnymi.</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Niewystarczająca infrastruktura turystyczna i usługi okołoturystyczne.</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Niewystarczające usieciowienie tras rowerowych, łączących różne miejscowości.</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Niedostateczna wiedza mieszkańców w zakresie ochrony klimatu i środowiska</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lastRenderedPageBreak/>
              <w:t>Mała ilość wydarzeń rekreacyjno-sportowo-kulturalnych.</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Niedostateczna liczba małej infrastruktury, miejsc spotkań.</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Mały dostęp do kultury, zajęć pozaszkolnych dla dzieci i młodzieży  na wsiach – problem z dojazdem do miejscowości gminnych.</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zła jakość istniejącej infrastruktury rekreacyjnej</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Słaba współpraca między mieszkańcami, jednostkami gminnymi, organizacjami pozarządowymi, biznesem.</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Niewielka liczba sklepów z produktami lokalnymi.</w:t>
            </w:r>
          </w:p>
          <w:p w:rsidR="00A97D62" w:rsidRPr="00A97D62" w:rsidRDefault="00A97D62" w:rsidP="00A97D62">
            <w:pPr>
              <w:numPr>
                <w:ilvl w:val="0"/>
                <w:numId w:val="7"/>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Zły stan obiektów zabytkowych</w:t>
            </w:r>
          </w:p>
        </w:tc>
      </w:tr>
      <w:tr w:rsidR="00A97D62" w:rsidRPr="00A97D62" w:rsidTr="00A97D62">
        <w:tc>
          <w:tcPr>
            <w:tcW w:w="0" w:type="auto"/>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0" w:type="dxa"/>
              <w:left w:w="115" w:type="dxa"/>
              <w:bottom w:w="0" w:type="dxa"/>
              <w:right w:w="115" w:type="dxa"/>
            </w:tcMar>
            <w:vAlign w:val="center"/>
            <w:hideMark/>
          </w:tcPr>
          <w:p w:rsidR="00A97D62" w:rsidRPr="00A97D62" w:rsidRDefault="00A97D62" w:rsidP="00A97D62">
            <w:pPr>
              <w:spacing w:before="60" w:after="0" w:line="240" w:lineRule="auto"/>
              <w:ind w:right="115" w:hanging="115"/>
              <w:jc w:val="center"/>
              <w:rPr>
                <w:rFonts w:ascii="Times New Roman" w:eastAsia="Times New Roman" w:hAnsi="Times New Roman" w:cs="Times New Roman"/>
                <w:sz w:val="24"/>
                <w:szCs w:val="24"/>
                <w:lang w:eastAsia="pl-PL"/>
              </w:rPr>
            </w:pPr>
            <w:r w:rsidRPr="00A97D62">
              <w:rPr>
                <w:rFonts w:ascii="Arial" w:eastAsia="Times New Roman" w:hAnsi="Arial" w:cs="Arial"/>
                <w:b/>
                <w:bCs/>
                <w:color w:val="000000"/>
                <w:sz w:val="20"/>
                <w:szCs w:val="20"/>
                <w:lang w:eastAsia="pl-PL"/>
              </w:rPr>
              <w:lastRenderedPageBreak/>
              <w:t>SZANSE</w:t>
            </w:r>
          </w:p>
        </w:tc>
        <w:tc>
          <w:tcPr>
            <w:tcW w:w="0" w:type="auto"/>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0" w:type="dxa"/>
              <w:left w:w="115" w:type="dxa"/>
              <w:bottom w:w="0" w:type="dxa"/>
              <w:right w:w="115" w:type="dxa"/>
            </w:tcMar>
            <w:vAlign w:val="center"/>
            <w:hideMark/>
          </w:tcPr>
          <w:p w:rsidR="00A97D62" w:rsidRPr="00A97D62" w:rsidRDefault="00A97D62" w:rsidP="00A97D62">
            <w:pPr>
              <w:spacing w:before="60" w:after="0" w:line="240" w:lineRule="auto"/>
              <w:ind w:right="115" w:hanging="115"/>
              <w:jc w:val="center"/>
              <w:rPr>
                <w:rFonts w:ascii="Times New Roman" w:eastAsia="Times New Roman" w:hAnsi="Times New Roman" w:cs="Times New Roman"/>
                <w:sz w:val="24"/>
                <w:szCs w:val="24"/>
                <w:lang w:eastAsia="pl-PL"/>
              </w:rPr>
            </w:pPr>
            <w:r w:rsidRPr="00A97D62">
              <w:rPr>
                <w:rFonts w:ascii="Arial" w:eastAsia="Times New Roman" w:hAnsi="Arial" w:cs="Arial"/>
                <w:b/>
                <w:bCs/>
                <w:color w:val="000000"/>
                <w:sz w:val="20"/>
                <w:szCs w:val="20"/>
                <w:lang w:eastAsia="pl-PL"/>
              </w:rPr>
              <w:t>ZAGROŻENIA</w:t>
            </w:r>
          </w:p>
        </w:tc>
      </w:tr>
      <w:tr w:rsidR="00A97D62" w:rsidRPr="00A97D62" w:rsidTr="00A97D62">
        <w:tc>
          <w:tcPr>
            <w:tcW w:w="0" w:type="auto"/>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5" w:type="dxa"/>
              <w:bottom w:w="0" w:type="dxa"/>
              <w:right w:w="115" w:type="dxa"/>
            </w:tcMar>
            <w:vAlign w:val="center"/>
            <w:hideMark/>
          </w:tcPr>
          <w:p w:rsidR="00A97D62" w:rsidRPr="00A97D62" w:rsidRDefault="00A97D62" w:rsidP="00A97D62">
            <w:pPr>
              <w:spacing w:before="60" w:after="0" w:line="240" w:lineRule="auto"/>
              <w:ind w:right="115" w:hanging="115"/>
              <w:jc w:val="center"/>
              <w:rPr>
                <w:rFonts w:ascii="Times New Roman" w:eastAsia="Times New Roman" w:hAnsi="Times New Roman" w:cs="Times New Roman"/>
                <w:sz w:val="24"/>
                <w:szCs w:val="24"/>
                <w:lang w:eastAsia="pl-PL"/>
              </w:rPr>
            </w:pPr>
            <w:r w:rsidRPr="00A97D62">
              <w:rPr>
                <w:rFonts w:ascii="Arial" w:eastAsia="Times New Roman" w:hAnsi="Arial" w:cs="Arial"/>
                <w:b/>
                <w:bCs/>
                <w:color w:val="000000"/>
                <w:sz w:val="20"/>
                <w:szCs w:val="20"/>
                <w:lang w:eastAsia="pl-PL"/>
              </w:rPr>
              <w:t>Czynniki zewnętrzne</w:t>
            </w:r>
          </w:p>
        </w:tc>
      </w:tr>
      <w:tr w:rsidR="00A97D62" w:rsidRPr="00A97D62" w:rsidTr="00A97D62">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A97D62" w:rsidRPr="00A97D62" w:rsidRDefault="00A97D62" w:rsidP="00A97D62">
            <w:pPr>
              <w:numPr>
                <w:ilvl w:val="0"/>
                <w:numId w:val="8"/>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Rosnąca potrzeba tożsamości lokalnej wśród społeczności.</w:t>
            </w:r>
          </w:p>
          <w:p w:rsidR="00A97D62" w:rsidRPr="00A97D62" w:rsidRDefault="00A97D62" w:rsidP="00A97D62">
            <w:pPr>
              <w:numPr>
                <w:ilvl w:val="0"/>
                <w:numId w:val="8"/>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Budowa marki lokalnej – tożsamości miejsca,  (Szwajcaria Połczyńska)</w:t>
            </w:r>
          </w:p>
          <w:p w:rsidR="00A97D62" w:rsidRPr="00A97D62" w:rsidRDefault="00A97D62" w:rsidP="00A97D62">
            <w:pPr>
              <w:numPr>
                <w:ilvl w:val="0"/>
                <w:numId w:val="8"/>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Rosnące zainteresowanie i zapotrzebowanie na produkty lokalne.</w:t>
            </w:r>
          </w:p>
          <w:p w:rsidR="00A97D62" w:rsidRPr="00A97D62" w:rsidRDefault="00A97D62" w:rsidP="00A97D62">
            <w:pPr>
              <w:numPr>
                <w:ilvl w:val="0"/>
                <w:numId w:val="8"/>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Wzrastające znaczenie koncepcji sieciowania produktów turystycznych.</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Rosnące zapotrzebowanie na turystykę wiejską, wypoczynek w gospodarstwach agroturystycznych, spędzanie czasu blisko natury.</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Rozwój kultury uprawiania sportu</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Wzrost świadomości dotyczącej jakości żywności.</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Rozwój pracy zdalnej.</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Rozwój szkolnictwa zawodowego, w tym szkolnictwa związanego z zawodami medycznymi.</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Wzrost zainteresowania usługami mobilnymi.</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Rosnąca świadomość ekologiczna.</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Rozwój i animacja współpracy międzysektorowej: JST, NGO, biznes mieszkańcy.</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Migracje kapitału ludzkiego w celu poszukiwania lepszych warunków środowiskowych, dobrej bazy </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Rozwój turystyki, turystyki i agroturystyki. </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Rozwój szlaków turystycznych: pieszych, rowerowych, konnych itp.</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Rozwój bazy noclegowej wraz wyżywieniem nastawionym na zdrowe, lokalne produkty.</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Rozwój zasobów endogenicznych – rozwój turystyki uzdrowiskowej.</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Rozwój branży IT.</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Realizacja lokalnego/gminnego programu rewitalizacji.</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Realizacja Strategii Terytorialnej</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00"/>
                <w:sz w:val="18"/>
                <w:szCs w:val="18"/>
                <w:lang w:eastAsia="pl-PL"/>
              </w:rPr>
            </w:pPr>
            <w:r w:rsidRPr="00A97D62">
              <w:rPr>
                <w:rFonts w:ascii="Times New Roman" w:eastAsia="Times New Roman" w:hAnsi="Times New Roman" w:cs="Times New Roman"/>
                <w:color w:val="000000"/>
                <w:sz w:val="18"/>
                <w:szCs w:val="18"/>
                <w:lang w:eastAsia="pl-PL"/>
              </w:rPr>
              <w:t>Rozwój narzędzi pobudzenia społecznego – np. małe granty dla mieszkańców, organizacji społecznych na oddolne inicjatywy.</w:t>
            </w:r>
          </w:p>
          <w:p w:rsidR="00A97D62" w:rsidRPr="00A97D62" w:rsidRDefault="00A97D62" w:rsidP="00A97D62">
            <w:pPr>
              <w:numPr>
                <w:ilvl w:val="0"/>
                <w:numId w:val="9"/>
              </w:numPr>
              <w:spacing w:before="60" w:after="0" w:line="240" w:lineRule="auto"/>
              <w:ind w:right="115"/>
              <w:textAlignment w:val="baseline"/>
              <w:rPr>
                <w:rFonts w:ascii="Times New Roman" w:eastAsia="Times New Roman" w:hAnsi="Times New Roman" w:cs="Times New Roman"/>
                <w:b/>
                <w:bCs/>
                <w:color w:val="0000FF"/>
                <w:sz w:val="18"/>
                <w:szCs w:val="18"/>
                <w:lang w:eastAsia="pl-PL"/>
              </w:rPr>
            </w:pPr>
            <w:r w:rsidRPr="00A97D62">
              <w:rPr>
                <w:rFonts w:ascii="Times New Roman" w:eastAsia="Times New Roman" w:hAnsi="Times New Roman" w:cs="Times New Roman"/>
                <w:color w:val="000000"/>
                <w:sz w:val="18"/>
                <w:szCs w:val="18"/>
                <w:lang w:eastAsia="pl-PL"/>
              </w:rPr>
              <w:lastRenderedPageBreak/>
              <w:t>Stworzenie marki lokalnej w oparciu np. zasoby lokalne lub rozwój rękodzielnictwa i rzemiosła.</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A97D62" w:rsidRPr="00A97D62" w:rsidRDefault="00A97D62" w:rsidP="00A97D62">
            <w:pPr>
              <w:numPr>
                <w:ilvl w:val="0"/>
                <w:numId w:val="10"/>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lastRenderedPageBreak/>
              <w:t>Zmiany demograficzne, starzejące się społeczeństwo.</w:t>
            </w:r>
          </w:p>
          <w:p w:rsidR="00A97D62" w:rsidRPr="00A97D62" w:rsidRDefault="00A97D62" w:rsidP="00A97D62">
            <w:pPr>
              <w:numPr>
                <w:ilvl w:val="0"/>
                <w:numId w:val="10"/>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Wzrost inflacji.</w:t>
            </w:r>
          </w:p>
          <w:p w:rsidR="00A97D62" w:rsidRPr="00A97D62" w:rsidRDefault="00A97D62" w:rsidP="00A97D62">
            <w:pPr>
              <w:numPr>
                <w:ilvl w:val="0"/>
                <w:numId w:val="10"/>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Migracja zewnętrzna (do szkół, za pracę).</w:t>
            </w:r>
          </w:p>
          <w:p w:rsidR="00A97D62" w:rsidRPr="00A97D62" w:rsidRDefault="00A97D62" w:rsidP="00A97D62">
            <w:pPr>
              <w:numPr>
                <w:ilvl w:val="0"/>
                <w:numId w:val="10"/>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Brak wystarczającej liczby opiekunów osób starszych.</w:t>
            </w:r>
          </w:p>
          <w:p w:rsidR="00A97D62" w:rsidRPr="00A97D62" w:rsidRDefault="00A97D62" w:rsidP="00A97D62">
            <w:pPr>
              <w:numPr>
                <w:ilvl w:val="0"/>
                <w:numId w:val="10"/>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Rosnące koszty mediów.</w:t>
            </w:r>
          </w:p>
          <w:p w:rsidR="00A97D62" w:rsidRPr="00A97D62" w:rsidRDefault="00A97D62" w:rsidP="00A97D62">
            <w:pPr>
              <w:numPr>
                <w:ilvl w:val="0"/>
                <w:numId w:val="10"/>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Brak systemu wsparcia osób zależnych.</w:t>
            </w:r>
          </w:p>
          <w:p w:rsidR="00A97D62" w:rsidRPr="00A97D62" w:rsidRDefault="00A97D62" w:rsidP="00A97D62">
            <w:pPr>
              <w:numPr>
                <w:ilvl w:val="0"/>
                <w:numId w:val="10"/>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Brak środków nad opiekę medyczna</w:t>
            </w:r>
          </w:p>
          <w:p w:rsidR="00A97D62" w:rsidRPr="00A97D62" w:rsidRDefault="00A97D62" w:rsidP="00A97D62">
            <w:pPr>
              <w:numPr>
                <w:ilvl w:val="0"/>
                <w:numId w:val="10"/>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Społeczne przyzwolenie na spalanie odpadów, wywołane aktualnym kryzysem energetycznym.</w:t>
            </w:r>
          </w:p>
          <w:p w:rsidR="00A97D62" w:rsidRPr="00A97D62" w:rsidRDefault="00A97D62" w:rsidP="00A97D62">
            <w:pPr>
              <w:numPr>
                <w:ilvl w:val="0"/>
                <w:numId w:val="10"/>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Zmiana przepisów dotyczących odnawialnych źródeł energii.</w:t>
            </w:r>
          </w:p>
          <w:p w:rsidR="00A97D62" w:rsidRPr="00A97D62" w:rsidRDefault="00A97D62" w:rsidP="00A97D62">
            <w:pPr>
              <w:numPr>
                <w:ilvl w:val="0"/>
                <w:numId w:val="10"/>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Ochrona uzdrowiskowa nie pozwala na budowę zakładów produkcyjnych, hamulec do rozwoju nowych firm i ich ewentualnej ich rozbudowy.</w:t>
            </w:r>
          </w:p>
          <w:p w:rsidR="00A97D62" w:rsidRPr="00A97D62" w:rsidRDefault="00A97D62" w:rsidP="00A97D62">
            <w:pPr>
              <w:numPr>
                <w:ilvl w:val="0"/>
                <w:numId w:val="10"/>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Ograniczone środki na realizację działań społecznych </w:t>
            </w:r>
          </w:p>
          <w:p w:rsidR="00A97D62" w:rsidRPr="00A97D62" w:rsidRDefault="00A97D62" w:rsidP="00A97D62">
            <w:pPr>
              <w:numPr>
                <w:ilvl w:val="0"/>
                <w:numId w:val="10"/>
              </w:numPr>
              <w:spacing w:before="60" w:after="0" w:line="240" w:lineRule="auto"/>
              <w:ind w:right="115"/>
              <w:textAlignment w:val="baseline"/>
              <w:rPr>
                <w:rFonts w:ascii="Times New Roman" w:eastAsia="Times New Roman" w:hAnsi="Times New Roman" w:cs="Times New Roman"/>
                <w:color w:val="000000"/>
                <w:sz w:val="18"/>
                <w:szCs w:val="18"/>
                <w:lang w:eastAsia="pl-PL"/>
              </w:rPr>
            </w:pPr>
            <w:r w:rsidRPr="00A97D62">
              <w:rPr>
                <w:rFonts w:ascii="Times New Roman" w:eastAsia="Times New Roman" w:hAnsi="Times New Roman" w:cs="Times New Roman"/>
                <w:color w:val="000000"/>
                <w:sz w:val="18"/>
                <w:szCs w:val="18"/>
                <w:lang w:eastAsia="pl-PL"/>
              </w:rPr>
              <w:t>Ograniczone środki finansowe na poprawę stanu infrastruktury.</w:t>
            </w:r>
          </w:p>
        </w:tc>
      </w:tr>
    </w:tbl>
    <w:p w:rsidR="00A97D62" w:rsidRPr="00A97D62" w:rsidRDefault="00A97D62" w:rsidP="00A97D62">
      <w:pPr>
        <w:spacing w:after="0"/>
        <w:rPr>
          <w:rFonts w:ascii="Times New Roman" w:eastAsia="Times New Roman" w:hAnsi="Times New Roman" w:cs="Times New Roman"/>
          <w:color w:val="000000"/>
          <w:sz w:val="16"/>
          <w:szCs w:val="16"/>
          <w:lang w:eastAsia="pl-PL"/>
        </w:rPr>
      </w:pPr>
      <w:bookmarkStart w:id="0" w:name="_Hlk135903216"/>
      <w:r w:rsidRPr="00A97D62">
        <w:rPr>
          <w:rFonts w:ascii="Times New Roman" w:eastAsia="Times New Roman" w:hAnsi="Times New Roman" w:cs="Times New Roman"/>
          <w:color w:val="000000"/>
          <w:sz w:val="16"/>
          <w:szCs w:val="16"/>
          <w:lang w:eastAsia="pl-PL"/>
        </w:rPr>
        <w:lastRenderedPageBreak/>
        <w:t>Źródło: opracowanie własne</w:t>
      </w:r>
    </w:p>
    <w:bookmarkEnd w:id="0"/>
    <w:p w:rsidR="00A97D62" w:rsidRPr="00A97D62" w:rsidRDefault="00A97D62" w:rsidP="00A97D62">
      <w:pPr>
        <w:spacing w:before="240" w:after="0"/>
        <w:rPr>
          <w:rFonts w:ascii="Times New Roman" w:eastAsia="Times New Roman" w:hAnsi="Times New Roman" w:cs="Times New Roman"/>
          <w:u w:val="single"/>
          <w:lang w:eastAsia="pl-PL"/>
        </w:rPr>
      </w:pPr>
      <w:r w:rsidRPr="00A97D62">
        <w:rPr>
          <w:rFonts w:ascii="Times New Roman" w:eastAsia="Times New Roman" w:hAnsi="Times New Roman" w:cs="Times New Roman"/>
          <w:b/>
          <w:bCs/>
          <w:color w:val="000000"/>
          <w:u w:val="single"/>
          <w:lang w:eastAsia="pl-PL"/>
        </w:rPr>
        <w:t>Mocne strony</w:t>
      </w:r>
    </w:p>
    <w:p w:rsidR="00A97D62" w:rsidRPr="00A97D62" w:rsidRDefault="00A97D62" w:rsidP="00A97D62">
      <w:pPr>
        <w:spacing w:after="180"/>
        <w:jc w:val="both"/>
        <w:rPr>
          <w:rFonts w:ascii="Times New Roman" w:eastAsia="Times New Roman" w:hAnsi="Times New Roman" w:cs="Times New Roman"/>
          <w:lang w:eastAsia="pl-PL"/>
        </w:rPr>
      </w:pPr>
      <w:r w:rsidRPr="00A97D62">
        <w:rPr>
          <w:rFonts w:ascii="Times New Roman" w:eastAsia="Times New Roman" w:hAnsi="Times New Roman" w:cs="Times New Roman"/>
          <w:color w:val="000000"/>
          <w:lang w:eastAsia="pl-PL"/>
        </w:rPr>
        <w:t>Na podstawie analizy mocnych stron zauważamy, że obszar powiatu świdwińskiego to region wyjątkowy pod względem historycznym, kulturowym oraz przede wszystkim przyrodniczym. Różnorodność terenu, potencjał historyczny, park krajobrazowy, obszary Natura 2000 oraz duża inwencja i aktywność mieszkańców stwarzają wiele możliwości do uprawiania sportów, rekreacji czy spędzania wolnego czasu na warsztatach rozwijających różne umiejętności a także do rozwoju przedsiębiorczości</w:t>
      </w:r>
    </w:p>
    <w:p w:rsidR="00A97D62" w:rsidRPr="00A97D62" w:rsidRDefault="00A97D62" w:rsidP="00A97D62">
      <w:pPr>
        <w:spacing w:before="240" w:after="0"/>
        <w:rPr>
          <w:rFonts w:ascii="Times New Roman" w:eastAsia="Times New Roman" w:hAnsi="Times New Roman" w:cs="Times New Roman"/>
          <w:u w:val="single"/>
          <w:lang w:eastAsia="pl-PL"/>
        </w:rPr>
      </w:pPr>
      <w:r w:rsidRPr="00A97D62">
        <w:rPr>
          <w:rFonts w:ascii="Times New Roman" w:eastAsia="Times New Roman" w:hAnsi="Times New Roman" w:cs="Times New Roman"/>
          <w:b/>
          <w:bCs/>
          <w:color w:val="000000"/>
          <w:u w:val="single"/>
          <w:lang w:eastAsia="pl-PL"/>
        </w:rPr>
        <w:t>Słabe strony</w:t>
      </w:r>
    </w:p>
    <w:p w:rsidR="00A97D62" w:rsidRPr="00A97D62" w:rsidRDefault="00A97D62" w:rsidP="00A97D62">
      <w:pPr>
        <w:spacing w:after="180"/>
        <w:jc w:val="both"/>
        <w:rPr>
          <w:rFonts w:ascii="Times New Roman" w:eastAsia="Times New Roman" w:hAnsi="Times New Roman" w:cs="Times New Roman"/>
          <w:lang w:eastAsia="pl-PL"/>
        </w:rPr>
      </w:pPr>
      <w:r w:rsidRPr="00A97D62">
        <w:rPr>
          <w:rFonts w:ascii="Times New Roman" w:eastAsia="Times New Roman" w:hAnsi="Times New Roman" w:cs="Times New Roman"/>
          <w:color w:val="000000"/>
          <w:lang w:eastAsia="pl-PL"/>
        </w:rPr>
        <w:t xml:space="preserve">Słabe strony przeprowadzonej analizy pozwalają zwrócić uwagę na przeszkody, które mogą wpłynąć na realizację celów LSR. </w:t>
      </w:r>
      <w:r w:rsidRPr="00A97D62">
        <w:rPr>
          <w:rFonts w:ascii="Times New Roman" w:eastAsia="Times New Roman" w:hAnsi="Times New Roman" w:cs="Times New Roman"/>
          <w:b/>
          <w:bCs/>
          <w:color w:val="000000"/>
          <w:lang w:eastAsia="pl-PL"/>
        </w:rPr>
        <w:t>Najbardziej znaczące dla powiatu świdwińskiego jest niedostateczne wykorzystanie lokalnych zasobów oraz słabo rozwinięta infrastruktura techniczna i społeczna</w:t>
      </w:r>
      <w:r w:rsidRPr="00A97D62">
        <w:rPr>
          <w:rFonts w:ascii="Times New Roman" w:eastAsia="Times New Roman" w:hAnsi="Times New Roman" w:cs="Times New Roman"/>
          <w:color w:val="000000"/>
          <w:lang w:eastAsia="pl-PL"/>
        </w:rPr>
        <w:t xml:space="preserve">. Kolejną słabą stroną jest wysoki stopień bezrobocia –jest ono wyższe od stopy bezrobocia dla województwa zachodniopomorskiego oraz znacznie wyższej od stopy bezrobocia rejestrowanego dla całej Polski i zauważalny jest jego wzrost od 2020 r. Ważnym aspektem jest również wyludnienie miast i wsi głównie ze względu na brak pracy, z którym wiąże się niewykorzystanie potencjału młodych ludzi. Coraz to większym i narastającym problemem staje się również niekorzystna struktura demograficzna (starzenie się społeczeństwa). Innym czynnikiem osłabiającym rozwój regionu jest również mało efektywna promocja oraz niewystarczające umiejętności pozyskiwania funduszy przez mieszkańców,  a także niewydolna komunikacja pomiędzy instytucjami zajmującymi się podobnymi dziedzinami, jak również brak współpracy na styku: biznes-samorząd-organizacje </w:t>
      </w:r>
      <w:proofErr w:type="spellStart"/>
      <w:r w:rsidRPr="00A97D62">
        <w:rPr>
          <w:rFonts w:ascii="Times New Roman" w:eastAsia="Times New Roman" w:hAnsi="Times New Roman" w:cs="Times New Roman"/>
          <w:color w:val="000000"/>
          <w:lang w:eastAsia="pl-PL"/>
        </w:rPr>
        <w:t>pozarządowe-</w:t>
      </w:r>
      <w:bookmarkStart w:id="1" w:name="_GoBack"/>
      <w:bookmarkEnd w:id="1"/>
      <w:r w:rsidRPr="00A97D62">
        <w:rPr>
          <w:rFonts w:ascii="Times New Roman" w:eastAsia="Times New Roman" w:hAnsi="Times New Roman" w:cs="Times New Roman"/>
          <w:color w:val="000000"/>
          <w:lang w:eastAsia="pl-PL"/>
        </w:rPr>
        <w:t>mieszkańcy</w:t>
      </w:r>
      <w:proofErr w:type="spellEnd"/>
      <w:r w:rsidRPr="00A97D62">
        <w:rPr>
          <w:rFonts w:ascii="Times New Roman" w:eastAsia="Times New Roman" w:hAnsi="Times New Roman" w:cs="Times New Roman"/>
          <w:color w:val="000000"/>
          <w:lang w:eastAsia="pl-PL"/>
        </w:rPr>
        <w:t>. Słabą stroną jest również zbyt niska świadomość mieszkańców w zakresie ochrony klimatu i środowiska. Jakość infrastruktury sportowo - rekreacyjnej i sportowej, w tym dostępu do usług publicznych negatywnie wpływa na ocenę potencjału obszaru. Brakuje miejsc spotkań i aktywnego spędzania czasu, jak również dostępu młodych ludzi do kultury.</w:t>
      </w:r>
    </w:p>
    <w:p w:rsidR="00A97D62" w:rsidRPr="00A97D62" w:rsidRDefault="00A97D62" w:rsidP="00A97D62">
      <w:pPr>
        <w:spacing w:before="240" w:after="0"/>
        <w:rPr>
          <w:rFonts w:ascii="Times New Roman" w:eastAsia="Times New Roman" w:hAnsi="Times New Roman" w:cs="Times New Roman"/>
          <w:u w:val="single"/>
          <w:lang w:eastAsia="pl-PL"/>
        </w:rPr>
      </w:pPr>
      <w:r w:rsidRPr="00A97D62">
        <w:rPr>
          <w:rFonts w:ascii="Times New Roman" w:eastAsia="Times New Roman" w:hAnsi="Times New Roman" w:cs="Times New Roman"/>
          <w:b/>
          <w:bCs/>
          <w:color w:val="000000"/>
          <w:u w:val="single"/>
          <w:lang w:eastAsia="pl-PL"/>
        </w:rPr>
        <w:t>Szanse </w:t>
      </w:r>
    </w:p>
    <w:p w:rsidR="00A97D62" w:rsidRPr="00A97D62" w:rsidRDefault="00A97D62" w:rsidP="00A97D62">
      <w:pPr>
        <w:spacing w:after="180"/>
        <w:jc w:val="both"/>
        <w:rPr>
          <w:rFonts w:ascii="Times New Roman" w:eastAsia="Times New Roman" w:hAnsi="Times New Roman" w:cs="Times New Roman"/>
          <w:lang w:eastAsia="pl-PL"/>
        </w:rPr>
      </w:pPr>
      <w:r w:rsidRPr="00A97D62">
        <w:rPr>
          <w:rFonts w:ascii="Times New Roman" w:eastAsia="Times New Roman" w:hAnsi="Times New Roman" w:cs="Times New Roman"/>
          <w:color w:val="000000"/>
          <w:lang w:eastAsia="pl-PL"/>
        </w:rPr>
        <w:t xml:space="preserve">Niewątpliwie największą </w:t>
      </w:r>
      <w:r w:rsidRPr="00A97D62">
        <w:rPr>
          <w:rFonts w:ascii="Times New Roman" w:eastAsia="Times New Roman" w:hAnsi="Times New Roman" w:cs="Times New Roman"/>
          <w:b/>
          <w:bCs/>
          <w:color w:val="000000"/>
          <w:lang w:eastAsia="pl-PL"/>
        </w:rPr>
        <w:t>szansą na rozwój terenu LGD jest pobudzenie aktywności lokalnej społeczności.</w:t>
      </w:r>
      <w:r w:rsidRPr="00A97D62">
        <w:rPr>
          <w:rFonts w:ascii="Times New Roman" w:eastAsia="Times New Roman" w:hAnsi="Times New Roman" w:cs="Times New Roman"/>
          <w:color w:val="000000"/>
          <w:lang w:eastAsia="pl-PL"/>
        </w:rPr>
        <w:t xml:space="preserve"> Kolejnym atutem jest położenie w regionie Drawskiego Parku Krajobrazowego. Wiąże się to ze wzrostem zainteresowania obszarami wiejskimi jako miejscem </w:t>
      </w:r>
      <w:r w:rsidRPr="00A97D62">
        <w:rPr>
          <w:rFonts w:ascii="Times New Roman" w:eastAsia="Times New Roman" w:hAnsi="Times New Roman" w:cs="Times New Roman"/>
          <w:b/>
          <w:bCs/>
          <w:color w:val="000000"/>
          <w:lang w:eastAsia="pl-PL"/>
        </w:rPr>
        <w:t>zamieszkania i spędzania wolnego czasu. T</w:t>
      </w:r>
      <w:r w:rsidRPr="00A97D62">
        <w:rPr>
          <w:rFonts w:ascii="Times New Roman" w:eastAsia="Times New Roman" w:hAnsi="Times New Roman" w:cs="Times New Roman"/>
          <w:color w:val="000000"/>
          <w:lang w:eastAsia="pl-PL"/>
        </w:rPr>
        <w:t xml:space="preserve">o z kolei sprzyja tworzeniu nowych miejsc pracy </w:t>
      </w:r>
      <w:r w:rsidRPr="00A97D62">
        <w:rPr>
          <w:rFonts w:ascii="Times New Roman" w:eastAsia="Times New Roman" w:hAnsi="Times New Roman" w:cs="Times New Roman"/>
          <w:b/>
          <w:bCs/>
          <w:color w:val="000000"/>
          <w:lang w:eastAsia="pl-PL"/>
        </w:rPr>
        <w:t>w branży turystyki, okołoturystycznych</w:t>
      </w:r>
      <w:r w:rsidRPr="00A97D62">
        <w:rPr>
          <w:rFonts w:ascii="Times New Roman" w:eastAsia="Times New Roman" w:hAnsi="Times New Roman" w:cs="Times New Roman"/>
          <w:color w:val="000000"/>
          <w:lang w:eastAsia="pl-PL"/>
        </w:rPr>
        <w:t xml:space="preserve"> i ekoturystyki, edukacji regionalnej, a także przyczynia się do wzrostu świadomości mieszkańców i turystów o walorach regionu LGD. Stwarza także możliwości do rozwoju usług, ze szczególnym uwzględnieniem turystyki. Kolejna szansa to wydajniejsze wykorzystanie środków unijnych, w tym  ukierunkowanych na działania z zakresu ochrony klimatu i środowiska. Istotną kwestią szans jest wykorzystanie popytu na produkty lokalne, jako promocję regionu i jego specyfiki. Dużą rolę w rozwoju regionu mogą także odegrać operacje innowacyjne (rozwój branży IT, pracy zdalnej), czyli niepraktykowane dotąd działania na obszarze LGD. </w:t>
      </w:r>
    </w:p>
    <w:p w:rsidR="00A97D62" w:rsidRPr="00A97D62" w:rsidRDefault="00A97D62" w:rsidP="00A97D62">
      <w:pPr>
        <w:spacing w:before="240" w:after="0"/>
        <w:rPr>
          <w:rFonts w:ascii="Times New Roman" w:eastAsia="Times New Roman" w:hAnsi="Times New Roman" w:cs="Times New Roman"/>
          <w:u w:val="single"/>
          <w:lang w:eastAsia="pl-PL"/>
        </w:rPr>
      </w:pPr>
      <w:r w:rsidRPr="00A97D62">
        <w:rPr>
          <w:rFonts w:ascii="Times New Roman" w:eastAsia="Times New Roman" w:hAnsi="Times New Roman" w:cs="Times New Roman"/>
          <w:b/>
          <w:bCs/>
          <w:color w:val="000000"/>
          <w:u w:val="single"/>
          <w:lang w:eastAsia="pl-PL"/>
        </w:rPr>
        <w:t>Zagrożenia</w:t>
      </w:r>
    </w:p>
    <w:p w:rsidR="00A97D62" w:rsidRPr="00A97D62" w:rsidRDefault="00A97D62" w:rsidP="00A97D62">
      <w:pPr>
        <w:spacing w:after="180"/>
        <w:jc w:val="both"/>
        <w:rPr>
          <w:rFonts w:ascii="Times New Roman" w:eastAsia="Times New Roman" w:hAnsi="Times New Roman" w:cs="Times New Roman"/>
          <w:lang w:eastAsia="pl-PL"/>
        </w:rPr>
      </w:pPr>
      <w:r w:rsidRPr="00A97D62">
        <w:rPr>
          <w:rFonts w:ascii="Times New Roman" w:eastAsia="Times New Roman" w:hAnsi="Times New Roman" w:cs="Times New Roman"/>
          <w:color w:val="000000"/>
          <w:lang w:eastAsia="pl-PL"/>
        </w:rPr>
        <w:t xml:space="preserve">Analizując zagrożenia zawarte w SWOT jednym z kluczowych problemów może być wzrost inflacji, która może być hamulcem wszelkich działań związanych z rozwojem przedsiębiorczości i turystyki. Bardzo dużą przeszkodą w realizacji LSR może być także emigracja zarobkowa, w szczególności młodzieży i ludzi wykształconych, a także starzenie się społeczeństwa w połączeniu z niewystarczająca liczba osób do opieki nad osobami starszymi i zależnymi. Istotny jest również </w:t>
      </w:r>
      <w:r w:rsidRPr="00A97D62">
        <w:rPr>
          <w:rFonts w:ascii="Times New Roman" w:eastAsia="Times New Roman" w:hAnsi="Times New Roman" w:cs="Times New Roman"/>
          <w:color w:val="000000"/>
          <w:lang w:eastAsia="pl-PL"/>
        </w:rPr>
        <w:lastRenderedPageBreak/>
        <w:t>widocznych dzisiaj kryzys energetyczny, którego efektem jest przyzwolenie na spalanie odpadów - wpływają niewątpliwie na degradację środowiskową – istotny atut obszaru. Ochrona uzdrowiskowa nie pozwala na budowę zakładów produkcyjnych, stanowiąc hamulec do rozwoju nowych firm i ich ewentualnej ich rozbudowy.</w:t>
      </w:r>
    </w:p>
    <w:p w:rsidR="00A97D62" w:rsidRPr="00A97D62" w:rsidRDefault="00A97D62" w:rsidP="00A97D62">
      <w:pPr>
        <w:jc w:val="both"/>
        <w:rPr>
          <w:rFonts w:ascii="Times New Roman" w:eastAsia="Times New Roman" w:hAnsi="Times New Roman" w:cs="Times New Roman"/>
          <w:color w:val="000000"/>
          <w:lang w:eastAsia="pl-PL"/>
        </w:rPr>
      </w:pPr>
      <w:r w:rsidRPr="00A97D62">
        <w:rPr>
          <w:rFonts w:ascii="Times New Roman" w:eastAsia="Times New Roman" w:hAnsi="Times New Roman" w:cs="Times New Roman"/>
          <w:color w:val="000000"/>
          <w:lang w:eastAsia="pl-PL"/>
        </w:rPr>
        <w:t xml:space="preserve">Reasumując, potencjałem obszaru jest brak przemysłu ciężkiego, walory </w:t>
      </w:r>
      <w:r w:rsidRPr="00A97D62">
        <w:rPr>
          <w:rFonts w:ascii="Times New Roman" w:eastAsia="Times New Roman" w:hAnsi="Times New Roman" w:cs="Times New Roman"/>
          <w:color w:val="444746"/>
          <w:lang w:eastAsia="pl-PL"/>
        </w:rPr>
        <w:t>środowiskowe, krajobrazowe i historyczne</w:t>
      </w:r>
      <w:r w:rsidRPr="00A97D62">
        <w:rPr>
          <w:rFonts w:ascii="Times New Roman" w:eastAsia="Times New Roman" w:hAnsi="Times New Roman" w:cs="Times New Roman"/>
          <w:color w:val="000000"/>
          <w:lang w:eastAsia="pl-PL"/>
        </w:rPr>
        <w:t xml:space="preserve"> przekładające się na atrakcyjność turystyczną obszaru oraz kapitał społeczny, który jest gotowy do realizacji inicjatyw społecznych i gospodarczych. Głównym zagrożeniem natomiast jest dalszy odpływ ludności w celach zarobkowych powodujący stałe zmniejszanie się liczny ludności obszaru ( depopulacja), </w:t>
      </w:r>
      <w:r w:rsidRPr="00A97D62">
        <w:rPr>
          <w:rFonts w:ascii="Times New Roman" w:eastAsia="Times New Roman" w:hAnsi="Times New Roman" w:cs="Times New Roman"/>
          <w:color w:val="444746"/>
          <w:lang w:eastAsia="pl-PL"/>
        </w:rPr>
        <w:t xml:space="preserve">niski poziom wykształcenia i niedostosowane kierunki kształcenia, </w:t>
      </w:r>
      <w:r w:rsidRPr="00A97D62">
        <w:rPr>
          <w:rFonts w:ascii="Times New Roman" w:eastAsia="Times New Roman" w:hAnsi="Times New Roman" w:cs="Times New Roman"/>
          <w:color w:val="000000"/>
          <w:lang w:eastAsia="pl-PL"/>
        </w:rPr>
        <w:t> a także spadek liczby osób w wieku przedprodukcyjnym i nasilenie się procesu starzenia się społeczności lokalnych. </w:t>
      </w:r>
    </w:p>
    <w:p w:rsidR="00A97D62" w:rsidRPr="00A97D62" w:rsidRDefault="00A97D62" w:rsidP="00A97D62">
      <w:pPr>
        <w:spacing w:after="0"/>
        <w:jc w:val="both"/>
        <w:rPr>
          <w:rFonts w:ascii="Times New Roman" w:eastAsia="Times New Roman" w:hAnsi="Times New Roman" w:cs="Times New Roman"/>
          <w:color w:val="000000"/>
          <w:lang w:eastAsia="pl-PL"/>
        </w:rPr>
      </w:pPr>
      <w:r w:rsidRPr="00A97D62">
        <w:rPr>
          <w:rFonts w:ascii="Times New Roman" w:eastAsia="Times New Roman" w:hAnsi="Times New Roman" w:cs="Times New Roman"/>
          <w:b/>
          <w:bCs/>
          <w:color w:val="000000"/>
          <w:lang w:eastAsia="pl-PL"/>
        </w:rPr>
        <w:t xml:space="preserve">W wyniku analizy danych pozyskanych w trakcie spotkań konsultacyjnych określono grupy docelowe istotne ze względu na LSR: </w:t>
      </w:r>
      <w:r w:rsidRPr="00A97D62">
        <w:rPr>
          <w:rFonts w:ascii="Times New Roman" w:eastAsia="Times New Roman" w:hAnsi="Times New Roman" w:cs="Times New Roman"/>
          <w:color w:val="000000"/>
          <w:lang w:eastAsia="pl-PL"/>
        </w:rPr>
        <w:t xml:space="preserve">ludzie młodzi, seniorzy, osoby poszukujące zatrudnienia,                         w tym  mieszkańcy osiedli byłych PPGR, osoby z niepełnosprawnościami i ich opiekunowie oraz rolnicy z małych gospodarstw. W ramach LSR przewidziano wsparcie dla  grupy docelowej, które mają przyczyniać się do </w:t>
      </w:r>
      <w:proofErr w:type="spellStart"/>
      <w:r w:rsidRPr="00A97D62">
        <w:rPr>
          <w:rFonts w:ascii="Times New Roman" w:eastAsia="Times New Roman" w:hAnsi="Times New Roman" w:cs="Times New Roman"/>
          <w:color w:val="000000"/>
          <w:lang w:eastAsia="pl-PL"/>
        </w:rPr>
        <w:t>zniwelizowania</w:t>
      </w:r>
      <w:proofErr w:type="spellEnd"/>
      <w:r w:rsidRPr="00A97D62">
        <w:rPr>
          <w:rFonts w:ascii="Times New Roman" w:eastAsia="Times New Roman" w:hAnsi="Times New Roman" w:cs="Times New Roman"/>
          <w:color w:val="000000"/>
          <w:lang w:eastAsia="pl-PL"/>
        </w:rPr>
        <w:t xml:space="preserve"> zdiagnozowanych problemów. W tym celu zaplanowano realizację przedsięwzięcia 1.3 oraz przewidziano dodatkowe punkty podczas oceny operacji </w:t>
      </w:r>
    </w:p>
    <w:p w:rsidR="007F241C" w:rsidRDefault="00A97D62" w:rsidP="00A97D62">
      <w:r w:rsidRPr="00A97D62">
        <w:rPr>
          <w:rFonts w:ascii="Times New Roman" w:eastAsia="Times New Roman" w:hAnsi="Times New Roman" w:cs="Times New Roman"/>
          <w:color w:val="000000"/>
          <w:lang w:eastAsia="pl-PL"/>
        </w:rPr>
        <w:t>Wielokrotnie jako szansę na rozwój społeczno-gospodarczy wskazywano realizację innowacyjnego podjęcia, które będzie dodatkowo punktowane podczas oceny z lokalnymi kryteriami wyboru (rozdział VII). W ramach LSR planowane są do realizacji projekty realizowane w partnerstwie z innymi podmiotami terytorialnymi. Ma to na celu zachęcanie podmiotów z obszaru planowanego                                     do objęcia  LSR do zwiększenia współpracy, co będzie stanowiło odpowiedź na wskazywany w analizie problem ze współpracą pomiędzy sektorową.</w:t>
      </w:r>
    </w:p>
    <w:sectPr w:rsidR="007F2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1AF"/>
    <w:multiLevelType w:val="multilevel"/>
    <w:tmpl w:val="29203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A62227"/>
    <w:multiLevelType w:val="multilevel"/>
    <w:tmpl w:val="F7589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623A99"/>
    <w:multiLevelType w:val="multilevel"/>
    <w:tmpl w:val="6C2C3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D944E93"/>
    <w:multiLevelType w:val="multilevel"/>
    <w:tmpl w:val="3564B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A5B7C0C"/>
    <w:multiLevelType w:val="multilevel"/>
    <w:tmpl w:val="386CF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282420F"/>
    <w:multiLevelType w:val="multilevel"/>
    <w:tmpl w:val="1D3AB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2DF2A0D"/>
    <w:multiLevelType w:val="multilevel"/>
    <w:tmpl w:val="B91AD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D52E59"/>
    <w:multiLevelType w:val="multilevel"/>
    <w:tmpl w:val="A2E6F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F023829"/>
    <w:multiLevelType w:val="multilevel"/>
    <w:tmpl w:val="64B87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7E3282"/>
    <w:multiLevelType w:val="multilevel"/>
    <w:tmpl w:val="CF36F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62"/>
    <w:rsid w:val="0013151C"/>
    <w:rsid w:val="0076079B"/>
    <w:rsid w:val="00A97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6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1719</Words>
  <Characters>10314</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2023-05-31T11:57:00Z</dcterms:created>
  <dcterms:modified xsi:type="dcterms:W3CDTF">2023-05-31T11:58:00Z</dcterms:modified>
</cp:coreProperties>
</file>